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Délibération fixant les tarifs d'utilisation des salles communales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Délibération fixant les tarifs d'utilisation des salles communales</w:t>
      </w:r>
    </w:p>
    <w:p/>
    <w:p>
      <w:pPr>
        <w:jc w:val="both"/>
      </w:pPr>
      <w:br/>
      <w:r>
        <w:rPr/>
        <w:t xml:space="preserve"> M. ou Mme le maire expose à l'assemblée son souhait de réglementer les modalités d'utilisation de la salle …</w:t>
      </w:r>
      <w:r>
        <w:rPr>
          <w:i w:val="1"/>
          <w:iCs w:val="1"/>
        </w:rPr>
        <w:t xml:space="preserve"> (définir la salle communale dont l'utilisation doit être encadrée et indiquer son adresse) </w:t>
      </w:r>
      <w:r>
        <w:rPr/>
        <w:t xml:space="preserve">conformément aux dispositions de l'article L 2144-3 du code général des collectivités territoriales.</w:t>
      </w:r>
    </w:p>
    <w:p/>
    <w:p>
      <w:pPr>
        <w:jc w:val="both"/>
      </w:pPr>
      <w:r>
        <w:rPr/>
        <w:t xml:space="preserve">Vu le code général des collectivités territoriales, et notamment son article L 2144-3 ;</w:t>
      </w:r>
    </w:p>
    <w:p/>
    <w:p>
      <w:pPr>
        <w:jc w:val="both"/>
      </w:pPr>
      <w:r>
        <w:rPr/>
        <w:t xml:space="preserve">Il est proposé que les tarifs de location suivants puissent être retenus.</w:t>
      </w:r>
      <w:br/>
      <w:r>
        <w:rPr/>
        <w:t xml:space="preserve">  </w:t>
      </w:r>
    </w:p>
    <w:p/>
    <w:p>
      <w:pPr>
        <w:jc w:val="both"/>
      </w:pPr>
      <w:r>
        <w:rPr>
          <w:b w:val="1"/>
          <w:bCs w:val="1"/>
        </w:rPr>
        <w:t xml:space="preserve">Le conseil municipal, après avoir entendu l'exposé de M. ou Mme le maire décide </w:t>
      </w:r>
      <w:r>
        <w:rPr>
          <w:i w:val="1"/>
          <w:iCs w:val="1"/>
        </w:rPr>
        <w:t xml:space="preserve">(modalités du vote à préciser)</w:t>
      </w:r>
      <w:r>
        <w:rPr>
          <w:b w:val="1"/>
          <w:bCs w:val="1"/>
        </w:rPr>
        <w:t xml:space="preserve"> : </w:t>
      </w:r>
      <w:br/>
      <w:r>
        <w:rPr/>
        <w:t xml:space="preserve">  </w:t>
      </w:r>
    </w:p>
    <w:p/>
    <w:p>
      <w:pPr>
        <w:jc w:val="both"/>
      </w:pPr>
      <w:r>
        <w:rPr/>
        <w:t xml:space="preserve">- de fixer aux taux suivants le prix de location de la salle des fêtes communale qui seront applicables à compter du … (date de début de l'application des taux) :</w:t>
      </w:r>
    </w:p>
    <w:p/>
    <w:p>
      <w:pPr>
        <w:jc w:val="both"/>
      </w:pPr>
      <w:r>
        <w:rPr/>
        <w:t xml:space="preserve">- Utilisation pour les besoins communaux ou les activités municipales ou par les associations locales à but non lucratif qui concourent à la satisfaction d'un intérêt général : mise à disposition gratuite ;</w:t>
      </w:r>
    </w:p>
    <w:p/>
    <w:p>
      <w:pPr>
        <w:jc w:val="both"/>
      </w:pPr>
      <w:r>
        <w:rPr/>
        <w:t xml:space="preserve">- Utilisation par un candidat aux élections générales pour une réunion publique électorale dans les 6 mois précédant les élections ou pour les primaires d’une élection : mise à disposition gratuite dans la limite de 2 réunions par candidat (voire plus, il revient au conseil municipal de le décider) ou sans limite de nombre en fonction des disponibilités de la salle (attention à l’éventuel abus dans ce cas).</w:t>
      </w:r>
    </w:p>
    <w:p/>
    <w:p>
      <w:pPr>
        <w:jc w:val="both"/>
      </w:pPr>
      <w:r>
        <w:rPr/>
        <w:t xml:space="preserve">- Utilisation par :</w:t>
      </w:r>
    </w:p>
    <w:p/>
    <w:p>
      <w:pPr>
        <w:numPr>
          <w:ilvl w:val="0"/>
          <w:numId w:val="4"/>
        </w:numPr>
      </w:pPr>
      <w:r>
        <w:rPr/>
        <w:t xml:space="preserve">Un administré particulier domicilié ou résident dans la commune pour un usage personnel : … €</w:t>
      </w:r>
    </w:p>
    <w:p>
      <w:pPr>
        <w:numPr>
          <w:ilvl w:val="0"/>
          <w:numId w:val="4"/>
        </w:numPr>
      </w:pPr>
      <w:r>
        <w:rPr/>
        <w:t xml:space="preserve">Une personne particulière extérieure à la commune pour un usage personnel : … €</w:t>
      </w:r>
    </w:p>
    <w:p>
      <w:pPr>
        <w:numPr>
          <w:ilvl w:val="0"/>
          <w:numId w:val="4"/>
        </w:numPr>
      </w:pPr>
      <w:r>
        <w:rPr/>
        <w:t xml:space="preserve">Une entreprise de la commune (artisan, commerçant, société privée, etc.) ou un syndic de copropriété : … €</w:t>
      </w:r>
    </w:p>
    <w:p>
      <w:pPr>
        <w:numPr>
          <w:ilvl w:val="0"/>
          <w:numId w:val="4"/>
        </w:numPr>
      </w:pPr>
      <w:r>
        <w:rPr/>
        <w:t xml:space="preserve">Une association de la commune à but lucratif ou qui ne concourt pas à la satisfaction d'un intérêt général : … €</w:t>
      </w:r>
    </w:p>
    <w:p>
      <w:pPr>
        <w:numPr>
          <w:ilvl w:val="0"/>
          <w:numId w:val="4"/>
        </w:numPr>
      </w:pPr>
      <w:r>
        <w:rPr/>
        <w:t xml:space="preserve">Une entreprise ou une association extérieure de la commune : … €</w:t>
      </w:r>
    </w:p>
    <w:p>
      <w:pPr>
        <w:numPr>
          <w:ilvl w:val="0"/>
          <w:numId w:val="4"/>
        </w:numPr>
      </w:pPr>
      <w:r>
        <w:rPr/>
        <w:t xml:space="preserve">Un organisme public : … €</w:t>
      </w:r>
    </w:p>
    <w:p/>
    <w:p>
      <w:pPr>
        <w:jc w:val="both"/>
      </w:pPr>
      <w:r>
        <w:rPr>
          <w:i w:val="1"/>
          <w:iCs w:val="1"/>
        </w:rPr>
        <w:t xml:space="preserve">Fixer soit un tarif horaire, soit un tarif journalier, soit les deux.</w:t>
      </w:r>
    </w:p>
    <w:p/>
    <w:p>
      <w:pPr>
        <w:jc w:val="both"/>
      </w:pPr>
      <w:r>
        <w:rPr/>
        <w:t xml:space="preserve">La prise en location de la salle des fêtes entraînera également :</w:t>
      </w:r>
    </w:p>
    <w:p/>
    <w:p>
      <w:pPr>
        <w:jc w:val="both"/>
      </w:pPr>
      <w:r>
        <w:rPr/>
        <w:t xml:space="preserve">- le versement d'une caution de …. € lors de la remise des clés ;</w:t>
      </w:r>
      <w:br/>
      <w:r>
        <w:rPr/>
        <w:t xml:space="preserve"> - le remboursement des charges (préciser les modalités de remboursement des charges : soit sous forme de forfait, soit au réel).</w:t>
      </w:r>
    </w:p>
    <w:p/>
    <w:p/>
    <w:p>
      <w:pPr>
        <w:jc w:val="both"/>
      </w:pPr>
      <w:r>
        <w:rPr/>
        <w:t xml:space="preserve">Fait et délibéré le ..., à ...</w:t>
      </w:r>
    </w:p>
    <w:p/>
    <w:p>
      <w:pPr>
        <w:jc w:val="both"/>
      </w:pPr>
      <w:r>
        <w:rPr/>
        <w:t xml:space="preserve">Signatures</w:t>
      </w:r>
    </w:p>
    <w:p/>
    <w:p>
      <w:pPr>
        <w:jc w:val="both"/>
      </w:pPr>
      <w:r>
        <w:rPr/>
        <w:t xml:space="preserve">Certifié exécutoire compte tenu de sa transmission en sous-préfecture ou préfecture le … et de la publication le …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33A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2026-09-07T12:36:31+02:00</dcterms:created>
  <dcterms:modified xsi:type="dcterms:W3CDTF">2026-09-07T12:36:31+02:00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