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Délibération instituant la taxe d’habitation sur la vacance des locaux d’habitation</w:t>
      </w:r>
    </w:p>
    <w:p>
      <w:pPr>
        <w:pStyle w:val="Heading3"/>
      </w:pPr>
      <w:r>
        <w:rPr/>
        <w:t xml:space="preserve">Source - Modèles</w:t>
      </w:r>
    </w:p>
    <w:p/>
    <w:p>
      <w:pPr>
        <w:jc w:val="both"/>
      </w:pPr>
      <w:r>
        <w:rPr>
          <w:b w:val="1"/>
          <w:bCs w:val="1"/>
        </w:rPr>
        <w:t xml:space="preserve">Délibération instituant la taxe d’habitation sur la vacance des locaux d’habitation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Le/La maire / président(e) de …,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Expose les dispositions de l’article 1406 bis du code général des impôts permettant au conseil … d’instituer la taxe sur la vacance des locaux d’habitation.</w:t>
      </w:r>
    </w:p>
    <w:p>
      <w:pPr>
        <w:jc w:val="both"/>
      </w:pPr>
      <w:r>
        <w:rPr/>
        <w:t xml:space="preserve">Rappelle les conditions d’assujettissement des locaux et les critères d’appréciation de la vacance et précise qu’en cas d'imposition erronée, les dégrèvements en résultant sont à la charge de la commune / l’établissement public de coopération intercommunale.</w:t>
      </w:r>
    </w:p>
    <w:p>
      <w:pPr>
        <w:jc w:val="both"/>
      </w:pPr>
      <w:r>
        <w:rPr>
          <w:i w:val="1"/>
          <w:iCs w:val="1"/>
        </w:rPr>
        <w:t xml:space="preserve">(Exposé des motifs conduisant à la proposition)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Vu l’article 1406 </w:t>
      </w:r>
      <w:r>
        <w:rPr>
          <w:i w:val="1"/>
          <w:iCs w:val="1"/>
        </w:rPr>
        <w:t xml:space="preserve">bis</w:t>
      </w:r>
      <w:r>
        <w:rPr/>
        <w:t xml:space="preserve"> du code général des impôts,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Le conseil …, après en avoir délibéré </w:t>
      </w:r>
      <w:r>
        <w:rPr>
          <w:i w:val="1"/>
          <w:iCs w:val="1"/>
        </w:rPr>
        <w:t xml:space="preserve">(modalités du vote à préciser)</w:t>
      </w:r>
      <w:r>
        <w:rPr>
          <w:b w:val="1"/>
          <w:bCs w:val="1"/>
        </w:rPr>
        <w:t xml:space="preserve"> :</w:t>
      </w:r>
    </w:p>
    <w:p>
      <w:pPr>
        <w:jc w:val="both"/>
      </w:pPr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Décide d’instituer la taxe sur la vacance des locaux d’habitation.</w:t>
      </w:r>
    </w:p>
    <w:p>
      <w:pPr>
        <w:numPr>
          <w:ilvl w:val="0"/>
          <w:numId w:val="4"/>
        </w:numPr>
      </w:pPr>
      <w:r>
        <w:rPr/>
        <w:t xml:space="preserve">Charge le/la maire / président(e) de notifier cette décision aux services préfectoraux.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A ..., le ...</w:t>
      </w:r>
    </w:p>
    <w:p>
      <w:pPr>
        <w:jc w:val="both"/>
      </w:pPr>
      <w:r>
        <w:rPr/>
        <w:t xml:space="preserve">---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Délibération instituant la taxe d’habitation sur la vacance des locaux d’habitation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Le/La maire / président(e) de …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Expose les dispositions de l’article 1406 </w:t>
      </w:r>
      <w:r>
        <w:rPr>
          <w:i w:val="1"/>
          <w:iCs w:val="1"/>
        </w:rPr>
        <w:t xml:space="preserve">bis</w:t>
      </w:r>
      <w:r>
        <w:rPr/>
        <w:t xml:space="preserve"> du code général des impôts permettant au conseil … de fixer le taux de la taxe sur la vacance des locaux d’habitation.</w:t>
      </w:r>
    </w:p>
    <w:p>
      <w:pPr>
        <w:jc w:val="both"/>
      </w:pPr>
      <w:r>
        <w:rPr/>
        <w:t xml:space="preserve">Rappelle les conditions d’assujettissement des locaux et les critères d’appréciation de la vacance et précise qu’en cas d'imposition erronée liée à l'appréciation de la vacance, les dégrèvements en résultant sont à la charge de la collectivité.</w:t>
      </w:r>
    </w:p>
    <w:p>
      <w:pPr>
        <w:jc w:val="both"/>
      </w:pPr>
      <w:r>
        <w:rPr>
          <w:i w:val="1"/>
          <w:iCs w:val="1"/>
        </w:rPr>
        <w:t xml:space="preserve">(Exposé des motifs conduisant à la proposition)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Vu l’article 1406 </w:t>
      </w:r>
      <w:r>
        <w:rPr>
          <w:i w:val="1"/>
          <w:iCs w:val="1"/>
        </w:rPr>
        <w:t xml:space="preserve">bis</w:t>
      </w:r>
      <w:r>
        <w:rPr/>
        <w:t xml:space="preserve"> du code général des impôts,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Le conseil …, après en avoir délibéré </w:t>
      </w:r>
      <w:r>
        <w:rPr>
          <w:i w:val="1"/>
          <w:iCs w:val="1"/>
        </w:rPr>
        <w:t xml:space="preserve">(modalités du vote à préciser)</w:t>
      </w:r>
      <w:r>
        <w:rPr>
          <w:b w:val="1"/>
          <w:bCs w:val="1"/>
        </w:rPr>
        <w:t xml:space="preserve"> 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Fixe les taux de la taxe sur la vacance des locaux d’habitation : ... </w:t>
      </w:r>
      <w:r>
        <w:rPr>
          <w:i w:val="1"/>
          <w:iCs w:val="1"/>
          <w:vertAlign w:val="superscript"/>
        </w:rPr>
        <w:t xml:space="preserve">1</w:t>
      </w:r>
    </w:p>
    <w:p>
      <w:pPr>
        <w:numPr>
          <w:ilvl w:val="0"/>
          <w:numId w:val="5"/>
        </w:numPr>
      </w:pPr>
      <w:r>
        <w:rPr/>
        <w:t xml:space="preserve">pour la première année d’imposition à ... ;</w:t>
      </w:r>
    </w:p>
    <w:p>
      <w:pPr>
        <w:numPr>
          <w:ilvl w:val="0"/>
          <w:numId w:val="5"/>
        </w:numPr>
      </w:pPr>
      <w:r>
        <w:rPr/>
        <w:t xml:space="preserve">à compter de la deuxième année d’imposition à ... ou</w:t>
      </w:r>
    </w:p>
    <w:p>
      <w:pPr>
        <w:jc w:val="both"/>
      </w:pPr>
      <w:r>
        <w:rPr/>
        <w:t xml:space="preserve">Fixe le taux de la taxe sur la vacance des locaux d’habitation à ... </w:t>
      </w:r>
      <w:r>
        <w:rPr>
          <w:i w:val="1"/>
          <w:iCs w:val="1"/>
          <w:vertAlign w:val="superscript"/>
        </w:rPr>
        <w:t xml:space="preserve">2</w:t>
      </w:r>
    </w:p>
    <w:p>
      <w:pPr>
        <w:jc w:val="both"/>
      </w:pPr>
      <w:r>
        <w:rPr/>
        <w:t xml:space="preserve">Charge le/la maire / président(e) de notifier cette décision aux services préfectoraux.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i w:val="1"/>
          <w:iCs w:val="1"/>
          <w:vertAlign w:val="superscript"/>
        </w:rPr>
        <w:t xml:space="preserve">1 Pour les communes situées en zone tendue, ces taux peuvent être compris entre 17 % et 30 % la première année d’imposition et entre 34% et 60% à compter de la deuxième année d’imposition.</w:t>
      </w:r>
    </w:p>
    <w:p>
      <w:pPr>
        <w:jc w:val="both"/>
      </w:pPr>
      <w:r>
        <w:rPr>
          <w:i w:val="1"/>
          <w:iCs w:val="1"/>
          <w:vertAlign w:val="superscript"/>
        </w:rPr>
        <w:t xml:space="preserve">2 Pour les communes situées en zone non tendue ou les EPCI à fiscalité propre, ce taux peut être fixé dans la limite de 50 %.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50A59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4AC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2026-05-19T07:47:48+02:00</dcterms:created>
  <dcterms:modified xsi:type="dcterms:W3CDTF">2026-05-19T07:47:48+02:00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