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 du maire permettant l’accès aux données du registre nominatif 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b w:val="1"/>
          <w:bCs w:val="1"/>
        </w:rPr>
        <w:t xml:space="preserve">Arrêté du maire permettant l’accès aux données du registre nominatif 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COMMUNE DE …</w:t>
      </w:r>
    </w:p>
    <w:p>
      <w:pPr>
        <w:jc w:val="both"/>
      </w:pPr>
      <w:r>
        <w:rPr/>
        <w:t xml:space="preserve">ARRÊTÉ DU MAIRE N° …</w:t>
      </w:r>
    </w:p>
    <w:p>
      <w:pPr>
        <w:jc w:val="both"/>
      </w:pPr>
      <w:r>
        <w:rPr/>
        <w:t xml:space="preserve">Portant désignation des personnes habilitées à enregistrer, traiter, conserver et modifier les données du registre nominatif des personnes vulnérables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Le Maire de la commune de …,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Vu le code de l'action sociale et des familles, notamment ses articles L 121-6-1, R 121-2 à R 121-12, et plus particulièrement l'article R 121-7 ;</w:t>
      </w:r>
    </w:p>
    <w:p>
      <w:pPr>
        <w:jc w:val="both"/>
      </w:pPr>
      <w:r>
        <w:rPr/>
        <w:t xml:space="preserve">Vu le code général des collectivités territoriales ;</w:t>
      </w:r>
    </w:p>
    <w:p>
      <w:pPr>
        <w:jc w:val="both"/>
      </w:pPr>
      <w:r>
        <w:rPr/>
        <w:t xml:space="preserve">Vu le code pénal et notamment les articles 226-13, 226-14 et 226-31 du code pénal ;</w:t>
      </w:r>
    </w:p>
    <w:p>
      <w:pPr>
        <w:jc w:val="both"/>
      </w:pPr>
      <w:r>
        <w:rPr/>
        <w:t xml:space="preserve">Considérant que la commune tient un registre nominatif des personnes âgées, des personnes en situation de handicap et des autres personnes vulnérables vivant à leur domicile ;</w:t>
      </w:r>
    </w:p>
    <w:p>
      <w:pPr>
        <w:jc w:val="both"/>
      </w:pPr>
      <w:r>
        <w:rPr/>
        <w:t xml:space="preserve">Considérant que seules les personnes nommément désignées par le maire peuvent être habilitées à enregistrer, traiter, conserver et modifier les données contenues dans ce registre ;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ARRÊTE :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b w:val="1"/>
          <w:bCs w:val="1"/>
        </w:rPr>
        <w:t xml:space="preserve">Article 1 – Désignation des personnes habilitées</w:t>
      </w:r>
    </w:p>
    <w:p>
      <w:pPr>
        <w:jc w:val="both"/>
      </w:pPr>
      <w:r>
        <w:rPr/>
        <w:t xml:space="preserve">Est désigné et spécialement habilité à enregistrer, traiter, conserver et modifier les données à caractère personnel contenues dans le registre nominatif des personnes vulnérables :</w:t>
      </w:r>
    </w:p>
    <w:p>
      <w:pPr>
        <w:numPr>
          <w:ilvl w:val="0"/>
          <w:numId w:val="4"/>
        </w:numPr>
      </w:pPr>
      <w:r>
        <w:rPr/>
        <w:t xml:space="preserve">Mme/M. ... (nom, prénom), (fonction) ;</w:t>
      </w:r>
    </w:p>
    <w:p>
      <w:pPr>
        <w:jc w:val="both"/>
      </w:pPr>
      <w:r>
        <w:rPr/>
        <w:t xml:space="preserve">Cette habilitation est accordée dans le strict cadre des missions qui lui sont confiées.</w:t>
      </w:r>
    </w:p>
    <w:p>
      <w:pPr>
        <w:jc w:val="both"/>
      </w:pPr>
      <w:r>
        <w:rPr>
          <w:b w:val="1"/>
          <w:bCs w:val="1"/>
        </w:rPr>
        <w:t xml:space="preserve">Article 2 – Accès aux données</w:t>
      </w:r>
    </w:p>
    <w:p>
      <w:pPr>
        <w:jc w:val="both"/>
      </w:pPr>
      <w:r>
        <w:rPr/>
        <w:t xml:space="preserve">La personne désignée à l'article 1er a accès aux seules données nécessaires à l'exercice de ses missions, dans le respect du principe du besoin d'en connaître, conformément aux dispositions de l'article R 121-7 du code de l'action sociale et des familles.</w:t>
      </w:r>
    </w:p>
    <w:p>
      <w:pPr>
        <w:jc w:val="both"/>
      </w:pPr>
      <w:r>
        <w:rPr/>
        <w:t xml:space="preserve">Le maire peut également accéder aux données enregistrées dans le registre dans le cadre de ses attributions, ainsi que les adjoints délégués en la matière.</w:t>
      </w:r>
    </w:p>
    <w:p>
      <w:pPr>
        <w:jc w:val="both"/>
      </w:pPr>
      <w:r>
        <w:rPr>
          <w:b w:val="1"/>
          <w:bCs w:val="1"/>
        </w:rPr>
        <w:t xml:space="preserve">Article 3 – Obligations de confidentialité</w:t>
      </w:r>
    </w:p>
    <w:p>
      <w:pPr>
        <w:jc w:val="both"/>
      </w:pPr>
      <w:r>
        <w:rPr/>
        <w:t xml:space="preserve">L’agent désigné est tenu au secret professionnel dans les conditions prévues par les articles 226-13, 226-14 et 226-31 du code pénal. Il s'engage à garantir la confidentialité, l'intégrité et la sécurité des données à caractère personnel auxquelles il a accès et à respecter les dispositions du règlement (UE) 2016/679 et de la loi n° 78-17 du 6 janvier 1978 modifiée.</w:t>
      </w:r>
    </w:p>
    <w:p>
      <w:pPr>
        <w:jc w:val="both"/>
      </w:pPr>
      <w:r>
        <w:rPr>
          <w:b w:val="1"/>
          <w:bCs w:val="1"/>
        </w:rPr>
        <w:t xml:space="preserve">Article 4 – Retrait de l'habilitation</w:t>
      </w:r>
    </w:p>
    <w:p>
      <w:pPr>
        <w:jc w:val="both"/>
      </w:pPr>
      <w:r>
        <w:rPr/>
        <w:t xml:space="preserve">La présente habilitation prend fin de plein droit lorsque l'agent cesse d'exercer les fonctions justifiant son accès au registre ou peut être retirée à tout moment par arrêté du maire.</w:t>
      </w:r>
    </w:p>
    <w:p>
      <w:pPr>
        <w:jc w:val="both"/>
      </w:pPr>
      <w:r>
        <w:rPr>
          <w:b w:val="1"/>
          <w:bCs w:val="1"/>
        </w:rPr>
        <w:t xml:space="preserve">Article 5 – Exécution</w:t>
      </w:r>
    </w:p>
    <w:p>
      <w:pPr>
        <w:jc w:val="both"/>
      </w:pPr>
      <w:r>
        <w:rPr/>
        <w:t xml:space="preserve">Le Directeur général des services (ou le secrétaire général de mairie) est chargé de l'exécution du présent arrêté.</w:t>
      </w:r>
    </w:p>
    <w:p>
      <w:pPr>
        <w:jc w:val="both"/>
      </w:pPr>
      <w:r>
        <w:rPr/>
        <w:t xml:space="preserve">Ampliation du présent arrêté sera notifiée à l’agent désigné, qui en accusera réception.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Fait à ..., le ...</w:t>
      </w:r>
    </w:p>
    <w:p>
      <w:pPr>
        <w:jc w:val="both"/>
      </w:pPr>
      <w:r>
        <w:rPr/>
        <w:t xml:space="preserve">Le Maire</w:t>
      </w:r>
    </w:p>
    <w:p>
      <w:pPr>
        <w:jc w:val="both"/>
      </w:pPr>
      <w:r>
        <w:rPr/>
        <w:t xml:space="preserve">Nom, prénom</w:t>
      </w:r>
      <w:br/>
      <w:r>
        <w:rPr>
          <w:i w:val="1"/>
          <w:iCs w:val="1"/>
        </w:rPr>
        <w:t xml:space="preserve">(Signature)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/>
        <w:t xml:space="preserve">Notification</w:t>
      </w:r>
    </w:p>
    <w:p>
      <w:pPr>
        <w:jc w:val="both"/>
      </w:pPr>
      <w:r>
        <w:rPr/>
        <w:t xml:space="preserve">Je soussigné(e), Mme/M. ..., reconnais avoir reçu notification du présent arrêté et m'engage à respecter les obligations de confidentialité et de secret professionnel qui y sont rappelées.</w:t>
      </w:r>
    </w:p>
    <w:p>
      <w:pPr>
        <w:jc w:val="both"/>
      </w:pPr>
      <w:r>
        <w:rPr/>
        <w:t xml:space="preserve">À ..., le ...</w:t>
      </w:r>
    </w:p>
    <w:p>
      <w:pPr>
        <w:jc w:val="both"/>
      </w:pPr>
      <w:r>
        <w:rPr/>
        <w:t xml:space="preserve">Signature de l'agent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2C9D424"/>
    <w:multiLevelType w:val="hybridMultilevel"/>
    <w:lvl w:ilvl="0">
      <w:start w:val="1"/>
      <w:numFmt w:val="decimal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2026-08-31T08:48:56+02:00</dcterms:created>
  <dcterms:modified xsi:type="dcterms:W3CDTF">2026-08-31T08:48:56+02:00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